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A2" w:rsidRPr="000C7AC8" w:rsidRDefault="004957A2" w:rsidP="004957A2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bookmarkStart w:id="0" w:name="_GoBack"/>
      <w:bookmarkEnd w:id="0"/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楊光國中小辦理</w:t>
      </w:r>
    </w:p>
    <w:p w:rsidR="004957A2" w:rsidRPr="000C7AC8" w:rsidRDefault="004957A2" w:rsidP="004957A2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桃園市</w:t>
      </w:r>
      <w:proofErr w:type="gramStart"/>
      <w:r w:rsidRPr="000C7AC8"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  <w:t>10</w:t>
      </w: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7</w:t>
      </w:r>
      <w:proofErr w:type="gramEnd"/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年度中小學國際教育初階研習課程架構表</w:t>
      </w:r>
    </w:p>
    <w:tbl>
      <w:tblPr>
        <w:tblStyle w:val="a7"/>
        <w:tblW w:w="0" w:type="auto"/>
        <w:jc w:val="center"/>
        <w:tblInd w:w="-1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786"/>
        <w:gridCol w:w="4536"/>
        <w:gridCol w:w="1418"/>
        <w:gridCol w:w="1783"/>
      </w:tblGrid>
      <w:tr w:rsidR="004957A2" w:rsidRPr="00DD566D" w:rsidTr="002919FB">
        <w:trPr>
          <w:trHeight w:val="406"/>
          <w:jc w:val="center"/>
        </w:trPr>
        <w:tc>
          <w:tcPr>
            <w:tcW w:w="698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面向</w:t>
            </w:r>
          </w:p>
        </w:tc>
        <w:tc>
          <w:tcPr>
            <w:tcW w:w="178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課程名稱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課程大綱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規劃時間</w:t>
            </w:r>
          </w:p>
        </w:tc>
        <w:tc>
          <w:tcPr>
            <w:tcW w:w="1783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預計講師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場域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與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文化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全球化下的國際關係：國際教育的場域視角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全球化下的國際關係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WTO對（中小學）教育發展之影響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全球化下國際教育的前瞻視野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pStyle w:val="school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57A2">
              <w:rPr>
                <w:rFonts w:ascii="標楷體" w:eastAsia="標楷體" w:hAnsi="標楷體" w:hint="eastAsia"/>
                <w:sz w:val="22"/>
                <w:szCs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跨文化溝通的理論與實際：國際教育的文化視角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跨文化溝通的全球意涵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跨文化溝通的在地實踐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跨文化溝通的衝突與協商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跨文化溝通的教育思維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理念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國際教育理念分析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國際化與國際教育關係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國際教育中四個意識型態</w:t>
            </w:r>
            <w:r w:rsidR="004957A2" w:rsidRPr="004957A2">
              <w:rPr>
                <w:rFonts w:ascii="標楷體" w:eastAsia="標楷體" w:hAnsi="標楷體"/>
                <w:sz w:val="22"/>
              </w:rPr>
              <w:t>(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民族主義、國際主義、全球主義、世界主義</w:t>
            </w:r>
            <w:r w:rsidR="004957A2" w:rsidRPr="004957A2">
              <w:rPr>
                <w:rFonts w:ascii="標楷體" w:eastAsia="標楷體" w:hAnsi="標楷體"/>
                <w:sz w:val="22"/>
              </w:rPr>
              <w:t>)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全球化國際關係結構下國際教育的變遷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各國國際教育推動現況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國際組織與各國國際教育推動現況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政策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我國與各國中小學國際教育政策與行動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國際教育願景、目標、定義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國際教育的推動策略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國際教育的行動方案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東南亞/南亞社會與文化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南亞社會與文化認識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NPO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與</w:t>
            </w:r>
            <w:r w:rsidR="004957A2" w:rsidRPr="004957A2">
              <w:rPr>
                <w:rFonts w:ascii="標楷體" w:eastAsia="標楷體" w:hAnsi="標楷體"/>
                <w:sz w:val="22"/>
              </w:rPr>
              <w:t>NGO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介紹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南亞教育、經濟建設與區域合作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實務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國際交流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辦理國際交流活動原則與立場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國際交流的目標與模式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國際交流的策略與資源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如何設計國際交流活動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/>
                <w:sz w:val="22"/>
              </w:rPr>
              <w:t>ICT運用與國際交流之實例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課程發展與教學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國際教育融入課程：What &amp; Why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國際教育融入課程：原則與模式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學校本位推動融入課程：設計與機制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學校國際化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學校國際化與國際教育的關係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學校國際化之內涵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學校國際化之實施原則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學校本位國際教育說明(含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S</w:t>
            </w:r>
            <w:r w:rsidRPr="004957A2">
              <w:rPr>
                <w:rFonts w:ascii="標楷體" w:eastAsia="標楷體" w:hAnsi="標楷體" w:cs="Arial"/>
                <w:kern w:val="0"/>
                <w:sz w:val="22"/>
              </w:rPr>
              <w:t>I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EP</w:t>
            </w: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計畫書之推廣)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國際教育實務演練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國際交流實務運作研討與意見交流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課程發展與教學實務運作研討與意見交流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教師專業成長實務運作研討與意見交流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學校國際化實務運作研討與意見交流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trHeight w:val="578"/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彈性</w:t>
            </w:r>
          </w:p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學校本位推動國際教育：教師專業成長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國際教育專業社群之運作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12</w:t>
            </w:r>
            <w:r w:rsidRPr="004957A2">
              <w:rPr>
                <w:rFonts w:ascii="標楷體" w:eastAsia="標楷體" w:hAnsi="標楷體"/>
                <w:sz w:val="22"/>
              </w:rPr>
              <w:t>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47621D">
        <w:trPr>
          <w:jc w:val="center"/>
        </w:trPr>
        <w:tc>
          <w:tcPr>
            <w:tcW w:w="7020" w:type="dxa"/>
            <w:gridSpan w:val="3"/>
            <w:shd w:val="clear" w:color="auto" w:fill="FDE9D9" w:themeFill="accent6" w:themeFillTint="33"/>
            <w:vAlign w:val="center"/>
          </w:tcPr>
          <w:p w:rsidR="004957A2" w:rsidRPr="004957A2" w:rsidRDefault="004957A2" w:rsidP="006F6F4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研習時數總計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24小時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(1440分鐘)</w:t>
            </w:r>
          </w:p>
        </w:tc>
        <w:tc>
          <w:tcPr>
            <w:tcW w:w="1783" w:type="dxa"/>
            <w:shd w:val="clear" w:color="auto" w:fill="FDE9D9" w:themeFill="accent6" w:themeFillTint="33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9A3303" w:rsidRPr="00950AF3" w:rsidRDefault="009A3303" w:rsidP="002A195C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2A195C">
      <w:pgSz w:w="11906" w:h="16838"/>
      <w:pgMar w:top="1134" w:right="851" w:bottom="567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27" w:rsidRDefault="00DB0127" w:rsidP="00950AF3">
      <w:r>
        <w:separator/>
      </w:r>
    </w:p>
  </w:endnote>
  <w:endnote w:type="continuationSeparator" w:id="0">
    <w:p w:rsidR="00DB0127" w:rsidRDefault="00DB0127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27" w:rsidRDefault="00DB0127" w:rsidP="00950AF3">
      <w:r>
        <w:separator/>
      </w:r>
    </w:p>
  </w:footnote>
  <w:footnote w:type="continuationSeparator" w:id="0">
    <w:p w:rsidR="00DB0127" w:rsidRDefault="00DB0127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C7600"/>
    <w:rsid w:val="000C7AC8"/>
    <w:rsid w:val="00192B93"/>
    <w:rsid w:val="001F73F2"/>
    <w:rsid w:val="00205BA5"/>
    <w:rsid w:val="002919FB"/>
    <w:rsid w:val="0029211B"/>
    <w:rsid w:val="002A195C"/>
    <w:rsid w:val="002B2EA8"/>
    <w:rsid w:val="003C23C5"/>
    <w:rsid w:val="00427EB2"/>
    <w:rsid w:val="0047621D"/>
    <w:rsid w:val="004957A2"/>
    <w:rsid w:val="004D30B1"/>
    <w:rsid w:val="005C3AB6"/>
    <w:rsid w:val="006F6F4E"/>
    <w:rsid w:val="007E3E30"/>
    <w:rsid w:val="008C1534"/>
    <w:rsid w:val="009075B3"/>
    <w:rsid w:val="00950AF3"/>
    <w:rsid w:val="009A3303"/>
    <w:rsid w:val="00A313E1"/>
    <w:rsid w:val="00AA1440"/>
    <w:rsid w:val="00BD16D4"/>
    <w:rsid w:val="00C21A10"/>
    <w:rsid w:val="00CD23EC"/>
    <w:rsid w:val="00D7621B"/>
    <w:rsid w:val="00DB0127"/>
    <w:rsid w:val="00DD566D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944</Characters>
  <Application>Microsoft Office Word</Application>
  <DocSecurity>0</DocSecurity>
  <Lines>7</Lines>
  <Paragraphs>2</Paragraphs>
  <ScaleCrop>false</ScaleCrop>
  <Company>SYNNEX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2018-04-20T06:31:00Z</dcterms:created>
  <dcterms:modified xsi:type="dcterms:W3CDTF">2018-06-07T10:41:00Z</dcterms:modified>
</cp:coreProperties>
</file>